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F9D1" w14:textId="77777777" w:rsidR="000E5CDB" w:rsidRDefault="00000000">
      <w:pPr>
        <w:pStyle w:val="Title"/>
        <w:spacing w:after="120" w:line="264" w:lineRule="auto"/>
        <w:jc w:val="center"/>
      </w:pPr>
      <w:r>
        <w:t>Carbon Reduction Plan</w:t>
      </w:r>
    </w:p>
    <w:p w14:paraId="1AAFF9D2" w14:textId="77777777" w:rsidR="000E5CDB" w:rsidRDefault="00000000">
      <w:pPr>
        <w:pStyle w:val="Standard"/>
        <w:spacing w:after="120" w:line="264" w:lineRule="auto"/>
        <w:jc w:val="both"/>
      </w:pPr>
      <w:r>
        <w:rPr>
          <w:sz w:val="28"/>
          <w:szCs w:val="28"/>
        </w:rPr>
        <w:t>Supplier name:</w:t>
      </w:r>
      <w:r>
        <w:t xml:space="preserve"> Derby Business College Limited…………………………….</w:t>
      </w:r>
    </w:p>
    <w:p w14:paraId="1AAFF9D3" w14:textId="5FCD31D4" w:rsidR="000E5CDB" w:rsidRDefault="00000000">
      <w:pPr>
        <w:pStyle w:val="Standard"/>
        <w:spacing w:after="120" w:line="264" w:lineRule="auto"/>
        <w:jc w:val="both"/>
      </w:pPr>
      <w:r>
        <w:rPr>
          <w:sz w:val="28"/>
          <w:szCs w:val="28"/>
        </w:rPr>
        <w:t>Publication date:</w:t>
      </w:r>
      <w:r>
        <w:t xml:space="preserve"> </w:t>
      </w:r>
      <w:r w:rsidR="00AC3B27">
        <w:rPr>
          <w:highlight w:val="yellow"/>
        </w:rPr>
        <w:t>25</w:t>
      </w:r>
      <w:r w:rsidRPr="0039187E">
        <w:rPr>
          <w:highlight w:val="yellow"/>
        </w:rPr>
        <w:t>/</w:t>
      </w:r>
      <w:r w:rsidR="00AC3B27">
        <w:rPr>
          <w:highlight w:val="yellow"/>
        </w:rPr>
        <w:t>0</w:t>
      </w:r>
      <w:r w:rsidRPr="0039187E">
        <w:rPr>
          <w:highlight w:val="yellow"/>
        </w:rPr>
        <w:t>1/202</w:t>
      </w:r>
      <w:r w:rsidR="00AC3B27">
        <w:rPr>
          <w:highlight w:val="yellow"/>
        </w:rPr>
        <w:t>4</w:t>
      </w:r>
      <w:r>
        <w:t>……………....................................................</w:t>
      </w:r>
    </w:p>
    <w:p w14:paraId="1AAFF9D4" w14:textId="77777777" w:rsidR="000E5CDB" w:rsidRDefault="00000000">
      <w:pPr>
        <w:pStyle w:val="Heading1"/>
        <w:spacing w:before="360" w:line="264" w:lineRule="auto"/>
        <w:jc w:val="both"/>
      </w:pPr>
      <w:bookmarkStart w:id="0" w:name="_heading=h.30j0zll"/>
      <w:bookmarkEnd w:id="0"/>
      <w:r>
        <w:rPr>
          <w:b/>
          <w:sz w:val="28"/>
          <w:szCs w:val="28"/>
        </w:rPr>
        <w:t>Commitment to achieving Net Zero</w:t>
      </w:r>
    </w:p>
    <w:p w14:paraId="1AAFF9D5" w14:textId="77777777" w:rsidR="000E5CDB" w:rsidRDefault="00000000">
      <w:pPr>
        <w:pStyle w:val="Heading1"/>
        <w:keepNext w:val="0"/>
        <w:keepLines w:val="0"/>
        <w:spacing w:before="0" w:line="264" w:lineRule="auto"/>
        <w:jc w:val="both"/>
      </w:pPr>
      <w:bookmarkStart w:id="1" w:name="_heading=h.1fob9te"/>
      <w:bookmarkEnd w:id="1"/>
      <w:r>
        <w:rPr>
          <w:b/>
          <w:sz w:val="22"/>
          <w:szCs w:val="22"/>
        </w:rPr>
        <w:t>Derby Business College Limited</w:t>
      </w:r>
      <w:r>
        <w:rPr>
          <w:sz w:val="22"/>
          <w:szCs w:val="22"/>
        </w:rPr>
        <w:t xml:space="preserve"> is committed to achieving Net Zero emissions </w:t>
      </w:r>
      <w:r>
        <w:rPr>
          <w:bCs/>
          <w:sz w:val="22"/>
          <w:szCs w:val="22"/>
        </w:rPr>
        <w:t>by</w:t>
      </w:r>
      <w:r>
        <w:rPr>
          <w:b/>
          <w:sz w:val="22"/>
          <w:szCs w:val="22"/>
        </w:rPr>
        <w:t xml:space="preserve"> 2050.</w:t>
      </w:r>
    </w:p>
    <w:p w14:paraId="1AAFF9D6" w14:textId="77777777" w:rsidR="000E5CDB" w:rsidRDefault="00000000">
      <w:pPr>
        <w:pStyle w:val="Heading1"/>
        <w:spacing w:before="360" w:line="264" w:lineRule="auto"/>
        <w:jc w:val="both"/>
      </w:pPr>
      <w:bookmarkStart w:id="2" w:name="_heading=h.3znysh7"/>
      <w:bookmarkEnd w:id="2"/>
      <w:r>
        <w:rPr>
          <w:b/>
          <w:sz w:val="28"/>
          <w:szCs w:val="28"/>
        </w:rPr>
        <w:t>Baseline Emissions Footprint</w:t>
      </w:r>
    </w:p>
    <w:p w14:paraId="1AAFF9D7" w14:textId="77777777" w:rsidR="000E5CDB" w:rsidRDefault="00000000">
      <w:pPr>
        <w:pStyle w:val="Standard"/>
      </w:pPr>
      <w:r>
        <w:t>Baseline emissions are a record of the greenhouse gases that have been produced in the past and were produced prior to the introduction of any strategies to reduce emissions. Baseline emissions are the reference point against which emissions reduction can be measured.</w:t>
      </w:r>
    </w:p>
    <w:p w14:paraId="1AAFF9D8" w14:textId="77777777" w:rsidR="000E5CDB" w:rsidRDefault="00000000">
      <w:pPr>
        <w:pStyle w:val="Standard"/>
      </w:pPr>
      <w:r>
        <w:t xml:space="preserve"> </w:t>
      </w:r>
    </w:p>
    <w:p w14:paraId="1AAFF9D9" w14:textId="77777777" w:rsidR="000E5CDB" w:rsidRDefault="000E5CDB">
      <w:pPr>
        <w:pStyle w:val="Standard"/>
      </w:pPr>
    </w:p>
    <w:tbl>
      <w:tblPr>
        <w:tblW w:w="9450" w:type="dxa"/>
        <w:tblLayout w:type="fixed"/>
        <w:tblCellMar>
          <w:left w:w="10" w:type="dxa"/>
          <w:right w:w="10" w:type="dxa"/>
        </w:tblCellMar>
        <w:tblLook w:val="0000" w:firstRow="0" w:lastRow="0" w:firstColumn="0" w:lastColumn="0" w:noHBand="0" w:noVBand="0"/>
      </w:tblPr>
      <w:tblGrid>
        <w:gridCol w:w="2130"/>
        <w:gridCol w:w="7320"/>
      </w:tblGrid>
      <w:tr w:rsidR="000E5CDB" w14:paraId="1AAFF9DB" w14:textId="77777777">
        <w:trPr>
          <w:trHeight w:val="455"/>
        </w:trPr>
        <w:tc>
          <w:tcPr>
            <w:tcW w:w="945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FF9DA" w14:textId="77777777" w:rsidR="000E5CDB" w:rsidRDefault="00000000">
            <w:pPr>
              <w:pStyle w:val="Standard"/>
              <w:spacing w:after="120" w:line="264" w:lineRule="auto"/>
              <w:jc w:val="both"/>
            </w:pPr>
            <w:r>
              <w:rPr>
                <w:b/>
              </w:rPr>
              <w:t>Baseline Year: 2021/22 (01/08/2021 – 31/07/2022)</w:t>
            </w:r>
          </w:p>
        </w:tc>
      </w:tr>
      <w:tr w:rsidR="000E5CDB" w14:paraId="1AAFF9DD" w14:textId="77777777">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FF9DC" w14:textId="77777777" w:rsidR="000E5CDB" w:rsidRDefault="00000000">
            <w:pPr>
              <w:pStyle w:val="Standard"/>
              <w:spacing w:after="120" w:line="264" w:lineRule="auto"/>
              <w:jc w:val="both"/>
            </w:pPr>
            <w:r>
              <w:rPr>
                <w:b/>
              </w:rPr>
              <w:t>Additional Details relating to the Baseline Emissions calculations.</w:t>
            </w:r>
          </w:p>
        </w:tc>
      </w:tr>
      <w:tr w:rsidR="000E5CDB" w14:paraId="1AAFF9DF" w14:textId="77777777">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FF9DE" w14:textId="77777777" w:rsidR="000E5CDB" w:rsidRDefault="00000000">
            <w:pPr>
              <w:pStyle w:val="Standard"/>
              <w:spacing w:after="120" w:line="264" w:lineRule="auto"/>
              <w:jc w:val="both"/>
            </w:pPr>
            <w:r>
              <w:rPr>
                <w:iCs/>
              </w:rPr>
              <w:t>Emissions data has not been published in prior years therefore we have selected 2021/22 as our baseline year. The methodology for measuring our carbon footprint is in line with the Greenhouse Gas Protocol and the BEIS Environmental Reporting Guidelines. The calculations were completed using the SSE Carbon Footprint Calculator for UK Businesses which is based on the UK Government emissions factors.</w:t>
            </w:r>
          </w:p>
        </w:tc>
      </w:tr>
      <w:tr w:rsidR="000E5CDB" w14:paraId="1AAFF9E1" w14:textId="77777777">
        <w:trPr>
          <w:trHeight w:val="455"/>
        </w:trPr>
        <w:tc>
          <w:tcPr>
            <w:tcW w:w="945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FF9E0" w14:textId="77777777" w:rsidR="000E5CDB" w:rsidRDefault="00000000">
            <w:pPr>
              <w:pStyle w:val="Standard"/>
              <w:spacing w:after="120" w:line="264" w:lineRule="auto"/>
              <w:jc w:val="both"/>
            </w:pPr>
            <w:r>
              <w:rPr>
                <w:b/>
              </w:rPr>
              <w:t>Baseline year emissions:</w:t>
            </w:r>
          </w:p>
        </w:tc>
      </w:tr>
      <w:tr w:rsidR="000E5CDB" w14:paraId="1AAFF9E4" w14:textId="77777777">
        <w:trPr>
          <w:trHeight w:val="740"/>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FF9E2" w14:textId="77777777" w:rsidR="000E5CDB" w:rsidRDefault="00000000">
            <w:pPr>
              <w:pStyle w:val="Standard"/>
              <w:spacing w:after="120" w:line="264" w:lineRule="auto"/>
              <w:jc w:val="both"/>
            </w:pPr>
            <w:r>
              <w:rPr>
                <w:b/>
              </w:rPr>
              <w:t>EMISSIONS</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1AAFF9E3" w14:textId="77777777" w:rsidR="000E5CDB" w:rsidRDefault="00000000">
            <w:pPr>
              <w:pStyle w:val="Standard"/>
              <w:spacing w:after="120" w:line="264" w:lineRule="auto"/>
              <w:jc w:val="both"/>
            </w:pPr>
            <w:r>
              <w:rPr>
                <w:b/>
              </w:rPr>
              <w:t>TOTAL (tCO</w:t>
            </w:r>
            <w:r>
              <w:rPr>
                <w:b/>
                <w:vertAlign w:val="subscript"/>
              </w:rPr>
              <w:t>2</w:t>
            </w:r>
            <w:r>
              <w:rPr>
                <w:b/>
              </w:rPr>
              <w:t>e)</w:t>
            </w:r>
          </w:p>
        </w:tc>
      </w:tr>
      <w:tr w:rsidR="000E5CDB" w14:paraId="1AAFF9E7" w14:textId="77777777">
        <w:trPr>
          <w:trHeight w:val="455"/>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FF9E5" w14:textId="77777777" w:rsidR="000E5CDB" w:rsidRDefault="00000000">
            <w:pPr>
              <w:pStyle w:val="Standard"/>
              <w:spacing w:after="120" w:line="264" w:lineRule="auto"/>
              <w:jc w:val="both"/>
            </w:pPr>
            <w:r>
              <w:rPr>
                <w:b/>
              </w:rPr>
              <w:t>Scope 1</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1AAFF9E6" w14:textId="77777777" w:rsidR="000E5CDB" w:rsidRDefault="00000000">
            <w:pPr>
              <w:pStyle w:val="Standard"/>
              <w:spacing w:after="120" w:line="264" w:lineRule="auto"/>
              <w:jc w:val="both"/>
              <w:rPr>
                <w:b/>
              </w:rPr>
            </w:pPr>
            <w:r>
              <w:rPr>
                <w:b/>
              </w:rPr>
              <w:t>2.86</w:t>
            </w:r>
          </w:p>
        </w:tc>
      </w:tr>
      <w:tr w:rsidR="000E5CDB" w14:paraId="1AAFF9EA" w14:textId="77777777">
        <w:trPr>
          <w:trHeight w:val="455"/>
        </w:trPr>
        <w:tc>
          <w:tcPr>
            <w:tcW w:w="21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FF9E8" w14:textId="77777777" w:rsidR="000E5CDB" w:rsidRDefault="00000000">
            <w:pPr>
              <w:pStyle w:val="Standard"/>
              <w:spacing w:after="120" w:line="264" w:lineRule="auto"/>
              <w:jc w:val="both"/>
            </w:pPr>
            <w:r>
              <w:rPr>
                <w:b/>
              </w:rPr>
              <w:t>Scope 2</w:t>
            </w:r>
          </w:p>
        </w:tc>
        <w:tc>
          <w:tcPr>
            <w:tcW w:w="7320" w:type="dxa"/>
            <w:tcBorders>
              <w:bottom w:val="single" w:sz="8" w:space="0" w:color="000000"/>
              <w:right w:val="single" w:sz="18" w:space="0" w:color="000000"/>
            </w:tcBorders>
            <w:shd w:val="clear" w:color="auto" w:fill="auto"/>
            <w:tcMar>
              <w:top w:w="100" w:type="dxa"/>
              <w:left w:w="100" w:type="dxa"/>
              <w:bottom w:w="100" w:type="dxa"/>
              <w:right w:w="100" w:type="dxa"/>
            </w:tcMar>
          </w:tcPr>
          <w:p w14:paraId="1AAFF9E9" w14:textId="77777777" w:rsidR="000E5CDB" w:rsidRDefault="00000000">
            <w:pPr>
              <w:pStyle w:val="Standard"/>
              <w:spacing w:after="120" w:line="264" w:lineRule="auto"/>
              <w:jc w:val="both"/>
              <w:rPr>
                <w:b/>
              </w:rPr>
            </w:pPr>
            <w:r>
              <w:rPr>
                <w:b/>
              </w:rPr>
              <w:t>22.12</w:t>
            </w:r>
          </w:p>
        </w:tc>
      </w:tr>
      <w:tr w:rsidR="000E5CDB" w14:paraId="1AAFF9EE" w14:textId="77777777">
        <w:trPr>
          <w:trHeight w:val="585"/>
        </w:trPr>
        <w:tc>
          <w:tcPr>
            <w:tcW w:w="2130" w:type="dxa"/>
            <w:tcBorders>
              <w:left w:val="single" w:sz="8" w:space="0" w:color="000000"/>
              <w:bottom w:val="single" w:sz="18" w:space="0" w:color="000000"/>
              <w:right w:val="single" w:sz="8" w:space="0" w:color="000000"/>
            </w:tcBorders>
            <w:shd w:val="clear" w:color="auto" w:fill="auto"/>
            <w:tcMar>
              <w:top w:w="100" w:type="dxa"/>
              <w:left w:w="100" w:type="dxa"/>
              <w:bottom w:w="100" w:type="dxa"/>
              <w:right w:w="100" w:type="dxa"/>
            </w:tcMar>
          </w:tcPr>
          <w:p w14:paraId="1AAFF9EB" w14:textId="77777777" w:rsidR="000E5CDB" w:rsidRDefault="00000000">
            <w:pPr>
              <w:pStyle w:val="Standard"/>
              <w:spacing w:after="120" w:line="264" w:lineRule="auto"/>
              <w:jc w:val="both"/>
            </w:pPr>
            <w:r>
              <w:rPr>
                <w:b/>
              </w:rPr>
              <w:t>Scope 3</w:t>
            </w:r>
          </w:p>
          <w:p w14:paraId="1AAFF9EC" w14:textId="77777777" w:rsidR="000E5CDB" w:rsidRDefault="00000000">
            <w:pPr>
              <w:pStyle w:val="Standard"/>
              <w:spacing w:after="120" w:line="264" w:lineRule="auto"/>
              <w:jc w:val="both"/>
            </w:pPr>
            <w:r>
              <w:rPr>
                <w:b/>
                <w:sz w:val="18"/>
                <w:szCs w:val="18"/>
              </w:rPr>
              <w:t>(Included Sources)</w:t>
            </w:r>
          </w:p>
        </w:tc>
        <w:tc>
          <w:tcPr>
            <w:tcW w:w="7320" w:type="dxa"/>
            <w:tcBorders>
              <w:bottom w:val="single" w:sz="18" w:space="0" w:color="000000"/>
              <w:right w:val="single" w:sz="18" w:space="0" w:color="000000"/>
            </w:tcBorders>
            <w:shd w:val="clear" w:color="auto" w:fill="auto"/>
            <w:tcMar>
              <w:top w:w="100" w:type="dxa"/>
              <w:left w:w="100" w:type="dxa"/>
              <w:bottom w:w="100" w:type="dxa"/>
              <w:right w:w="100" w:type="dxa"/>
            </w:tcMar>
          </w:tcPr>
          <w:p w14:paraId="1AAFF9ED" w14:textId="77777777" w:rsidR="000E5CDB" w:rsidRDefault="00000000">
            <w:pPr>
              <w:pStyle w:val="Standard"/>
              <w:spacing w:after="120" w:line="264" w:lineRule="auto"/>
              <w:jc w:val="both"/>
              <w:rPr>
                <w:b/>
              </w:rPr>
            </w:pPr>
            <w:r>
              <w:rPr>
                <w:b/>
              </w:rPr>
              <w:t>95.22</w:t>
            </w:r>
          </w:p>
        </w:tc>
      </w:tr>
      <w:tr w:rsidR="000E5CDB" w14:paraId="1AAFF9F1" w14:textId="77777777">
        <w:trPr>
          <w:trHeight w:val="585"/>
        </w:trPr>
        <w:tc>
          <w:tcPr>
            <w:tcW w:w="2130" w:type="dxa"/>
            <w:tcBorders>
              <w:top w:val="single" w:sz="1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FF9EF" w14:textId="77777777" w:rsidR="000E5CDB" w:rsidRDefault="00000000">
            <w:pPr>
              <w:pStyle w:val="Standard"/>
              <w:spacing w:after="120" w:line="264" w:lineRule="auto"/>
              <w:jc w:val="both"/>
            </w:pPr>
            <w:r>
              <w:rPr>
                <w:b/>
              </w:rPr>
              <w:t>Total Emissions</w:t>
            </w:r>
          </w:p>
        </w:tc>
        <w:tc>
          <w:tcPr>
            <w:tcW w:w="7320" w:type="dxa"/>
            <w:tcBorders>
              <w:top w:val="single" w:sz="18" w:space="0" w:color="000000"/>
              <w:bottom w:val="single" w:sz="8" w:space="0" w:color="000000"/>
              <w:right w:val="single" w:sz="18" w:space="0" w:color="000000"/>
            </w:tcBorders>
            <w:shd w:val="clear" w:color="auto" w:fill="auto"/>
            <w:tcMar>
              <w:top w:w="100" w:type="dxa"/>
              <w:left w:w="100" w:type="dxa"/>
              <w:bottom w:w="100" w:type="dxa"/>
              <w:right w:w="100" w:type="dxa"/>
            </w:tcMar>
          </w:tcPr>
          <w:p w14:paraId="1AAFF9F0" w14:textId="77777777" w:rsidR="000E5CDB" w:rsidRDefault="00000000">
            <w:pPr>
              <w:pStyle w:val="Standard"/>
              <w:spacing w:after="120" w:line="264" w:lineRule="auto"/>
              <w:jc w:val="both"/>
              <w:rPr>
                <w:b/>
              </w:rPr>
            </w:pPr>
            <w:r>
              <w:rPr>
                <w:b/>
              </w:rPr>
              <w:t>120.20</w:t>
            </w:r>
          </w:p>
        </w:tc>
      </w:tr>
    </w:tbl>
    <w:p w14:paraId="1AAFF9F2" w14:textId="77777777" w:rsidR="000E5CDB" w:rsidRDefault="000E5CDB">
      <w:pPr>
        <w:pStyle w:val="Standard"/>
        <w:rPr>
          <w:b/>
          <w:sz w:val="28"/>
          <w:szCs w:val="28"/>
        </w:rPr>
      </w:pPr>
    </w:p>
    <w:p w14:paraId="1AAFF9F3" w14:textId="77777777" w:rsidR="000E5CDB" w:rsidRDefault="000E5CDB">
      <w:pPr>
        <w:pStyle w:val="Standard"/>
        <w:rPr>
          <w:b/>
          <w:sz w:val="28"/>
          <w:szCs w:val="28"/>
        </w:rPr>
      </w:pPr>
    </w:p>
    <w:p w14:paraId="1AAFF9F4" w14:textId="77777777" w:rsidR="000E5CDB" w:rsidRDefault="00000000">
      <w:pPr>
        <w:pStyle w:val="Standard"/>
      </w:pPr>
      <w:r>
        <w:rPr>
          <w:b/>
          <w:sz w:val="28"/>
          <w:szCs w:val="28"/>
        </w:rPr>
        <w:lastRenderedPageBreak/>
        <w:t>Current Emissions Reporting</w:t>
      </w:r>
    </w:p>
    <w:tbl>
      <w:tblPr>
        <w:tblW w:w="9465" w:type="dxa"/>
        <w:tblLayout w:type="fixed"/>
        <w:tblCellMar>
          <w:left w:w="10" w:type="dxa"/>
          <w:right w:w="10" w:type="dxa"/>
        </w:tblCellMar>
        <w:tblLook w:val="0000" w:firstRow="0" w:lastRow="0" w:firstColumn="0" w:lastColumn="0" w:noHBand="0" w:noVBand="0"/>
      </w:tblPr>
      <w:tblGrid>
        <w:gridCol w:w="2100"/>
        <w:gridCol w:w="7365"/>
      </w:tblGrid>
      <w:tr w:rsidR="000E5CDB" w14:paraId="1AAFF9F6" w14:textId="77777777">
        <w:trPr>
          <w:trHeight w:val="122"/>
        </w:trPr>
        <w:tc>
          <w:tcPr>
            <w:tcW w:w="9465" w:type="dxa"/>
            <w:gridSpan w:val="2"/>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AFF9F5" w14:textId="4D1E6412" w:rsidR="000E5CDB" w:rsidRDefault="00000000">
            <w:pPr>
              <w:pStyle w:val="Standard"/>
              <w:spacing w:after="120" w:line="264" w:lineRule="auto"/>
              <w:jc w:val="both"/>
            </w:pPr>
            <w:r>
              <w:rPr>
                <w:b/>
              </w:rPr>
              <w:t xml:space="preserve">Reporting Year: </w:t>
            </w:r>
            <w:r>
              <w:rPr>
                <w:b/>
                <w:shd w:val="clear" w:color="auto" w:fill="FFFF00"/>
              </w:rPr>
              <w:t>202</w:t>
            </w:r>
            <w:r w:rsidR="00D73752">
              <w:rPr>
                <w:b/>
                <w:shd w:val="clear" w:color="auto" w:fill="FFFF00"/>
              </w:rPr>
              <w:t>2</w:t>
            </w:r>
            <w:r>
              <w:rPr>
                <w:b/>
                <w:shd w:val="clear" w:color="auto" w:fill="FFFF00"/>
              </w:rPr>
              <w:t>/2</w:t>
            </w:r>
            <w:r w:rsidR="00D73752">
              <w:rPr>
                <w:b/>
                <w:shd w:val="clear" w:color="auto" w:fill="FFFF00"/>
              </w:rPr>
              <w:t>3</w:t>
            </w:r>
            <w:r>
              <w:rPr>
                <w:b/>
                <w:shd w:val="clear" w:color="auto" w:fill="FFFF00"/>
              </w:rPr>
              <w:t xml:space="preserve"> (01/08/202</w:t>
            </w:r>
            <w:r w:rsidR="000C2C41">
              <w:rPr>
                <w:b/>
                <w:shd w:val="clear" w:color="auto" w:fill="FFFF00"/>
              </w:rPr>
              <w:t>2</w:t>
            </w:r>
            <w:r>
              <w:rPr>
                <w:b/>
                <w:shd w:val="clear" w:color="auto" w:fill="FFFF00"/>
              </w:rPr>
              <w:t xml:space="preserve"> – 31/07/202</w:t>
            </w:r>
            <w:r w:rsidR="000C2C41">
              <w:rPr>
                <w:b/>
                <w:shd w:val="clear" w:color="auto" w:fill="FFFF00"/>
              </w:rPr>
              <w:t>3</w:t>
            </w:r>
            <w:r>
              <w:rPr>
                <w:b/>
                <w:shd w:val="clear" w:color="auto" w:fill="FFFF00"/>
              </w:rPr>
              <w:t>)</w:t>
            </w:r>
          </w:p>
        </w:tc>
      </w:tr>
      <w:tr w:rsidR="000E5CDB" w14:paraId="1AAFF9F9" w14:textId="77777777">
        <w:trPr>
          <w:trHeight w:val="740"/>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AFF9F7" w14:textId="77777777" w:rsidR="000E5CDB" w:rsidRDefault="00000000">
            <w:pPr>
              <w:pStyle w:val="Standard"/>
              <w:spacing w:after="120" w:line="264" w:lineRule="auto"/>
              <w:jc w:val="both"/>
            </w:pPr>
            <w:r>
              <w:rPr>
                <w:b/>
              </w:rPr>
              <w:t>EMISSIONS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AFF9F8" w14:textId="77777777" w:rsidR="000E5CDB" w:rsidRDefault="00000000">
            <w:pPr>
              <w:pStyle w:val="Standard"/>
              <w:spacing w:after="120" w:line="264" w:lineRule="auto"/>
              <w:jc w:val="both"/>
            </w:pPr>
            <w:r>
              <w:rPr>
                <w:b/>
              </w:rPr>
              <w:t>TOTAL (tCO</w:t>
            </w:r>
            <w:r>
              <w:rPr>
                <w:b/>
                <w:vertAlign w:val="subscript"/>
              </w:rPr>
              <w:t>2</w:t>
            </w:r>
            <w:r>
              <w:rPr>
                <w:b/>
              </w:rPr>
              <w:t>e)</w:t>
            </w:r>
          </w:p>
        </w:tc>
      </w:tr>
      <w:tr w:rsidR="000E5CDB" w14:paraId="1AAFF9FC" w14:textId="77777777">
        <w:trPr>
          <w:trHeight w:val="45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AFF9FA" w14:textId="77777777" w:rsidR="000E5CDB" w:rsidRDefault="00000000">
            <w:pPr>
              <w:pStyle w:val="Standard"/>
              <w:spacing w:after="120" w:line="264" w:lineRule="auto"/>
              <w:jc w:val="both"/>
            </w:pPr>
            <w:r>
              <w:rPr>
                <w:b/>
              </w:rPr>
              <w:t>Scope 1</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AFF9FB" w14:textId="32876D43" w:rsidR="000E5CDB" w:rsidRDefault="000C2C41">
            <w:pPr>
              <w:pStyle w:val="Standard"/>
              <w:spacing w:after="120" w:line="264" w:lineRule="auto"/>
              <w:jc w:val="both"/>
              <w:rPr>
                <w:b/>
                <w:shd w:val="clear" w:color="auto" w:fill="FFFF00"/>
              </w:rPr>
            </w:pPr>
            <w:r>
              <w:rPr>
                <w:b/>
                <w:shd w:val="clear" w:color="auto" w:fill="FFFF00"/>
              </w:rPr>
              <w:t>11.19</w:t>
            </w:r>
          </w:p>
        </w:tc>
      </w:tr>
      <w:tr w:rsidR="000E5CDB" w14:paraId="1AAFF9FF" w14:textId="77777777">
        <w:trPr>
          <w:trHeight w:val="45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AFF9FD" w14:textId="77777777" w:rsidR="000E5CDB" w:rsidRDefault="00000000">
            <w:pPr>
              <w:pStyle w:val="Standard"/>
              <w:spacing w:after="120" w:line="264" w:lineRule="auto"/>
              <w:jc w:val="both"/>
            </w:pPr>
            <w:r>
              <w:rPr>
                <w:b/>
              </w:rPr>
              <w:t>Scope 2</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AFF9FE" w14:textId="3550A5B6" w:rsidR="000E5CDB" w:rsidRDefault="000C2C41">
            <w:pPr>
              <w:pStyle w:val="Standard"/>
              <w:spacing w:after="120" w:line="264" w:lineRule="auto"/>
              <w:jc w:val="both"/>
              <w:rPr>
                <w:b/>
                <w:shd w:val="clear" w:color="auto" w:fill="FFFF00"/>
              </w:rPr>
            </w:pPr>
            <w:r>
              <w:rPr>
                <w:b/>
                <w:shd w:val="clear" w:color="auto" w:fill="FFFF00"/>
              </w:rPr>
              <w:t>19.14</w:t>
            </w:r>
          </w:p>
        </w:tc>
      </w:tr>
      <w:tr w:rsidR="000E5CDB" w14:paraId="1AAFFA03" w14:textId="77777777">
        <w:trPr>
          <w:trHeight w:val="58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AFFA00" w14:textId="77777777" w:rsidR="000E5CDB" w:rsidRDefault="00000000">
            <w:pPr>
              <w:pStyle w:val="Standard"/>
              <w:spacing w:after="120" w:line="264" w:lineRule="auto"/>
              <w:jc w:val="both"/>
            </w:pPr>
            <w:r>
              <w:rPr>
                <w:b/>
              </w:rPr>
              <w:t>Scope 3</w:t>
            </w:r>
          </w:p>
          <w:p w14:paraId="1AAFFA01" w14:textId="77777777" w:rsidR="000E5CDB" w:rsidRDefault="00000000">
            <w:pPr>
              <w:pStyle w:val="Standard"/>
              <w:spacing w:after="120" w:line="264" w:lineRule="auto"/>
              <w:jc w:val="both"/>
            </w:pPr>
            <w:r>
              <w:rPr>
                <w:b/>
                <w:sz w:val="18"/>
                <w:szCs w:val="18"/>
              </w:rPr>
              <w:t>(Included Sources)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AFFA02" w14:textId="0231A0B0" w:rsidR="000E5CDB" w:rsidRDefault="00C73C97">
            <w:pPr>
              <w:pStyle w:val="Standard"/>
              <w:spacing w:after="120" w:line="264" w:lineRule="auto"/>
              <w:jc w:val="both"/>
              <w:rPr>
                <w:b/>
                <w:shd w:val="clear" w:color="auto" w:fill="FFFF00"/>
              </w:rPr>
            </w:pPr>
            <w:r>
              <w:rPr>
                <w:b/>
                <w:shd w:val="clear" w:color="auto" w:fill="FFFF00"/>
              </w:rPr>
              <w:t>81.83</w:t>
            </w:r>
          </w:p>
        </w:tc>
      </w:tr>
      <w:tr w:rsidR="000E5CDB" w14:paraId="1AAFFA06" w14:textId="77777777">
        <w:trPr>
          <w:trHeight w:val="585"/>
        </w:trPr>
        <w:tc>
          <w:tcPr>
            <w:tcW w:w="210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AFFA04" w14:textId="77777777" w:rsidR="000E5CDB" w:rsidRDefault="00000000">
            <w:pPr>
              <w:pStyle w:val="Standard"/>
              <w:spacing w:after="120" w:line="264" w:lineRule="auto"/>
              <w:jc w:val="both"/>
            </w:pPr>
            <w:r>
              <w:rPr>
                <w:b/>
              </w:rPr>
              <w:t>Total Emissions</w:t>
            </w:r>
          </w:p>
        </w:tc>
        <w:tc>
          <w:tcPr>
            <w:tcW w:w="73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AAFFA05" w14:textId="2518EBBE" w:rsidR="000E5CDB" w:rsidRDefault="00000000">
            <w:pPr>
              <w:pStyle w:val="Standard"/>
              <w:spacing w:after="120" w:line="264" w:lineRule="auto"/>
              <w:jc w:val="both"/>
              <w:rPr>
                <w:b/>
                <w:shd w:val="clear" w:color="auto" w:fill="FFFF00"/>
              </w:rPr>
            </w:pPr>
            <w:r>
              <w:rPr>
                <w:b/>
                <w:shd w:val="clear" w:color="auto" w:fill="FFFF00"/>
              </w:rPr>
              <w:t>1</w:t>
            </w:r>
            <w:r w:rsidR="00C73C97">
              <w:rPr>
                <w:b/>
                <w:shd w:val="clear" w:color="auto" w:fill="FFFF00"/>
              </w:rPr>
              <w:t>12.16</w:t>
            </w:r>
          </w:p>
        </w:tc>
      </w:tr>
    </w:tbl>
    <w:p w14:paraId="1AAFFA07" w14:textId="77777777" w:rsidR="000E5CDB" w:rsidRDefault="000E5CDB">
      <w:pPr>
        <w:pStyle w:val="Heading1"/>
        <w:keepNext w:val="0"/>
        <w:keepLines w:val="0"/>
        <w:spacing w:before="0" w:line="264" w:lineRule="auto"/>
        <w:jc w:val="both"/>
        <w:rPr>
          <w:b/>
          <w:sz w:val="28"/>
          <w:szCs w:val="28"/>
        </w:rPr>
      </w:pPr>
      <w:bookmarkStart w:id="3" w:name="_heading=h.2et92p0"/>
      <w:bookmarkEnd w:id="3"/>
    </w:p>
    <w:p w14:paraId="1AAFFA08" w14:textId="77777777" w:rsidR="000E5CDB" w:rsidRDefault="00000000">
      <w:pPr>
        <w:pStyle w:val="Heading1"/>
        <w:keepNext w:val="0"/>
        <w:keepLines w:val="0"/>
        <w:spacing w:before="0" w:line="264" w:lineRule="auto"/>
        <w:jc w:val="both"/>
      </w:pPr>
      <w:r>
        <w:rPr>
          <w:b/>
          <w:sz w:val="28"/>
          <w:szCs w:val="28"/>
        </w:rPr>
        <w:t>Emissions reduction targets</w:t>
      </w:r>
    </w:p>
    <w:p w14:paraId="1AAFFA09" w14:textId="77777777" w:rsidR="000E5CDB" w:rsidRDefault="00000000">
      <w:pPr>
        <w:pStyle w:val="Heading1"/>
        <w:keepNext w:val="0"/>
        <w:keepLines w:val="0"/>
        <w:spacing w:before="0" w:line="264" w:lineRule="auto"/>
        <w:jc w:val="both"/>
      </w:pPr>
      <w:bookmarkStart w:id="4" w:name="_heading=h.tyjcwt"/>
      <w:bookmarkStart w:id="5" w:name="_heading=h.4d34og8"/>
      <w:bookmarkEnd w:id="4"/>
      <w:bookmarkEnd w:id="5"/>
      <w:r>
        <w:rPr>
          <w:sz w:val="22"/>
          <w:szCs w:val="22"/>
        </w:rPr>
        <w:t>In order to continue our progress to achieving Net Zero, we have adopted the following carbon reduction targets.</w:t>
      </w:r>
    </w:p>
    <w:p w14:paraId="1AAFFA0A" w14:textId="77777777" w:rsidR="000E5CDB" w:rsidRDefault="00000000">
      <w:pPr>
        <w:pStyle w:val="Heading1"/>
        <w:keepNext w:val="0"/>
        <w:keepLines w:val="0"/>
        <w:spacing w:before="0" w:line="264" w:lineRule="auto"/>
        <w:jc w:val="both"/>
      </w:pPr>
      <w:r>
        <w:rPr>
          <w:sz w:val="22"/>
          <w:szCs w:val="22"/>
        </w:rPr>
        <w:t xml:space="preserve">We project that carbon emissions will decrease over the next five years to </w:t>
      </w:r>
      <w:r>
        <w:rPr>
          <w:b/>
          <w:bCs/>
          <w:sz w:val="22"/>
          <w:szCs w:val="22"/>
        </w:rPr>
        <w:t>100.4 tCO2e</w:t>
      </w:r>
      <w:r>
        <w:rPr>
          <w:sz w:val="22"/>
          <w:szCs w:val="22"/>
        </w:rPr>
        <w:t xml:space="preserve"> by </w:t>
      </w:r>
      <w:r>
        <w:rPr>
          <w:b/>
          <w:bCs/>
          <w:sz w:val="22"/>
          <w:szCs w:val="22"/>
        </w:rPr>
        <w:t>2027</w:t>
      </w:r>
      <w:r>
        <w:rPr>
          <w:sz w:val="22"/>
          <w:szCs w:val="22"/>
        </w:rPr>
        <w:t xml:space="preserve">. This is a reduction of </w:t>
      </w:r>
      <w:r>
        <w:rPr>
          <w:b/>
          <w:bCs/>
          <w:sz w:val="22"/>
          <w:szCs w:val="22"/>
        </w:rPr>
        <w:t>16.4%</w:t>
      </w:r>
      <w:r>
        <w:rPr>
          <w:sz w:val="22"/>
          <w:szCs w:val="22"/>
        </w:rPr>
        <w:t xml:space="preserve"> and the projection is to reach Net Zero Carbon by 2050.</w:t>
      </w:r>
    </w:p>
    <w:p w14:paraId="45E44B9D" w14:textId="77777777" w:rsidR="0000540A" w:rsidRDefault="00000000" w:rsidP="00C642BC">
      <w:pPr>
        <w:pStyle w:val="Heading1"/>
        <w:keepNext w:val="0"/>
        <w:keepLines w:val="0"/>
        <w:spacing w:before="0" w:line="264" w:lineRule="auto"/>
        <w:rPr>
          <w:sz w:val="22"/>
          <w:szCs w:val="22"/>
        </w:rPr>
      </w:pPr>
      <w:bookmarkStart w:id="6" w:name="_heading=h.2s8eyo1"/>
      <w:bookmarkStart w:id="7" w:name="_heading=h.17dp8vu"/>
      <w:bookmarkEnd w:id="6"/>
      <w:bookmarkEnd w:id="7"/>
      <w:r>
        <w:rPr>
          <w:sz w:val="22"/>
          <w:szCs w:val="22"/>
        </w:rPr>
        <w:t>Progress against these targets can be seen in the graph below:</w:t>
      </w:r>
      <w:bookmarkStart w:id="8" w:name="_heading=h.2bn6wsx"/>
      <w:bookmarkEnd w:id="8"/>
      <w:r>
        <w:rPr>
          <w:sz w:val="22"/>
          <w:szCs w:val="22"/>
        </w:rPr>
        <w:t xml:space="preserve">  </w:t>
      </w:r>
    </w:p>
    <w:p w14:paraId="3BAE03CB" w14:textId="77777777" w:rsidR="0000540A" w:rsidRPr="0000540A" w:rsidRDefault="0000540A" w:rsidP="0000540A">
      <w:pPr>
        <w:pStyle w:val="Standard"/>
      </w:pPr>
    </w:p>
    <w:p w14:paraId="1AAFFA0C" w14:textId="0F9AEF8A" w:rsidR="000E5CDB" w:rsidRDefault="00C642BC" w:rsidP="00C642BC">
      <w:pPr>
        <w:pStyle w:val="Heading1"/>
        <w:keepNext w:val="0"/>
        <w:keepLines w:val="0"/>
        <w:spacing w:before="0" w:line="264" w:lineRule="auto"/>
      </w:pPr>
      <w:r>
        <w:rPr>
          <w:noProof/>
        </w:rPr>
        <w:drawing>
          <wp:inline distT="0" distB="0" distL="0" distR="0" wp14:anchorId="3E0C5DCB" wp14:editId="004EDECD">
            <wp:extent cx="5486400" cy="3200400"/>
            <wp:effectExtent l="0" t="0" r="0" b="0"/>
            <wp:docPr id="107661865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AAFFA0E" w14:textId="77777777" w:rsidR="000E5CDB" w:rsidRDefault="00000000">
      <w:pPr>
        <w:pStyle w:val="Heading1"/>
        <w:spacing w:before="360"/>
      </w:pPr>
      <w:bookmarkStart w:id="9" w:name="_heading=h.qsh70q"/>
      <w:bookmarkEnd w:id="9"/>
      <w:r>
        <w:rPr>
          <w:b/>
          <w:sz w:val="28"/>
          <w:szCs w:val="28"/>
        </w:rPr>
        <w:lastRenderedPageBreak/>
        <w:t>Carbon Reduction Projects</w:t>
      </w:r>
    </w:p>
    <w:p w14:paraId="1AAFFA0F" w14:textId="77777777" w:rsidR="000E5CDB" w:rsidRDefault="00000000">
      <w:pPr>
        <w:pStyle w:val="Heading3"/>
      </w:pPr>
      <w:bookmarkStart w:id="10" w:name="_heading=h.3as4poj"/>
      <w:bookmarkEnd w:id="10"/>
      <w:r>
        <w:t>Completed Carbon Reduction Initiatives</w:t>
      </w:r>
    </w:p>
    <w:p w14:paraId="1AAFFA10" w14:textId="77777777" w:rsidR="000E5CDB" w:rsidRDefault="00000000">
      <w:pPr>
        <w:pStyle w:val="Standard"/>
        <w:spacing w:after="140" w:line="264" w:lineRule="auto"/>
      </w:pPr>
      <w:r>
        <w:t xml:space="preserve">The following environmental management measures and projects have been completed or implemented prior the </w:t>
      </w:r>
      <w:r>
        <w:rPr>
          <w:b/>
          <w:bCs/>
        </w:rPr>
        <w:t>2021/22</w:t>
      </w:r>
      <w:r>
        <w:t xml:space="preserve"> baseline. The measures will be in effect when performing the contract. These include:</w:t>
      </w:r>
    </w:p>
    <w:p w14:paraId="1AAFFA11" w14:textId="77777777" w:rsidR="000E5CDB" w:rsidRDefault="00000000">
      <w:pPr>
        <w:pStyle w:val="Standard"/>
        <w:numPr>
          <w:ilvl w:val="0"/>
          <w:numId w:val="3"/>
        </w:numPr>
        <w:spacing w:after="140" w:line="264" w:lineRule="auto"/>
      </w:pPr>
      <w:r>
        <w:t xml:space="preserve">Move to agile working that has resulted in reduction of company business travel and commuting for staff. </w:t>
      </w:r>
    </w:p>
    <w:p w14:paraId="1AAFFA12" w14:textId="77777777" w:rsidR="000E5CDB" w:rsidRDefault="00000000">
      <w:pPr>
        <w:pStyle w:val="Standard"/>
        <w:numPr>
          <w:ilvl w:val="0"/>
          <w:numId w:val="3"/>
        </w:numPr>
        <w:spacing w:after="140" w:line="264" w:lineRule="auto"/>
      </w:pPr>
      <w:r>
        <w:t xml:space="preserve">Reduced dependency on office space and subsequent reduction in energy consumption. </w:t>
      </w:r>
    </w:p>
    <w:p w14:paraId="1AAFFA13" w14:textId="77777777" w:rsidR="000E5CDB" w:rsidRDefault="00000000">
      <w:pPr>
        <w:pStyle w:val="Standard"/>
        <w:numPr>
          <w:ilvl w:val="0"/>
          <w:numId w:val="3"/>
        </w:numPr>
        <w:spacing w:after="140" w:line="264" w:lineRule="auto"/>
      </w:pPr>
      <w:r>
        <w:t xml:space="preserve">Reduction in staff use of private vehicles for business use and increase in use of public transport/cycling/walking. </w:t>
      </w:r>
    </w:p>
    <w:p w14:paraId="1AAFFA14" w14:textId="77777777" w:rsidR="000E5CDB" w:rsidRDefault="00000000">
      <w:pPr>
        <w:pStyle w:val="Standard"/>
        <w:numPr>
          <w:ilvl w:val="0"/>
          <w:numId w:val="3"/>
        </w:numPr>
        <w:spacing w:after="140" w:line="264" w:lineRule="auto"/>
      </w:pPr>
      <w:r>
        <w:t xml:space="preserve">Staff encouraged to use video conferencing where possible to conduct meetings. </w:t>
      </w:r>
    </w:p>
    <w:p w14:paraId="1AAFFA15" w14:textId="77777777" w:rsidR="000E5CDB" w:rsidRDefault="00000000">
      <w:pPr>
        <w:pStyle w:val="Standard"/>
        <w:numPr>
          <w:ilvl w:val="0"/>
          <w:numId w:val="3"/>
        </w:numPr>
        <w:spacing w:after="140" w:line="264" w:lineRule="auto"/>
      </w:pPr>
      <w:r>
        <w:t>Installation of LED/PIR Lighting in managed properties.</w:t>
      </w:r>
    </w:p>
    <w:p w14:paraId="1AAFFA16" w14:textId="77777777" w:rsidR="000E5CDB" w:rsidRDefault="00000000">
      <w:pPr>
        <w:pStyle w:val="Standard"/>
        <w:numPr>
          <w:ilvl w:val="0"/>
          <w:numId w:val="3"/>
        </w:numPr>
        <w:spacing w:after="140" w:line="264" w:lineRule="auto"/>
      </w:pPr>
      <w:r>
        <w:t>Measures and policies to encourage waste reduction, e.g., printing.</w:t>
      </w:r>
    </w:p>
    <w:p w14:paraId="1AAFFA17" w14:textId="77777777" w:rsidR="000E5CDB" w:rsidRDefault="00000000">
      <w:pPr>
        <w:pStyle w:val="Standard"/>
        <w:numPr>
          <w:ilvl w:val="0"/>
          <w:numId w:val="3"/>
        </w:numPr>
        <w:spacing w:after="140" w:line="264" w:lineRule="auto"/>
      </w:pPr>
      <w:r>
        <w:t>Use of electronic systems to reduce the use of paper for programme administration and reporting.</w:t>
      </w:r>
    </w:p>
    <w:p w14:paraId="1AAFFA18" w14:textId="77777777" w:rsidR="000E5CDB" w:rsidRDefault="00000000">
      <w:pPr>
        <w:pStyle w:val="Standard"/>
        <w:numPr>
          <w:ilvl w:val="0"/>
          <w:numId w:val="3"/>
        </w:numPr>
        <w:spacing w:after="140" w:line="264" w:lineRule="auto"/>
      </w:pPr>
      <w:r>
        <w:t xml:space="preserve">Building management systems have been upgraded to reduce energy usage. </w:t>
      </w:r>
    </w:p>
    <w:p w14:paraId="1AAFFA19" w14:textId="77777777" w:rsidR="000E5CDB" w:rsidRDefault="00000000">
      <w:pPr>
        <w:pStyle w:val="Standard"/>
        <w:numPr>
          <w:ilvl w:val="0"/>
          <w:numId w:val="3"/>
        </w:numPr>
        <w:spacing w:after="140" w:line="264" w:lineRule="auto"/>
      </w:pPr>
      <w:r>
        <w:t>Completed a Social Value Impact assessment that will help us to build and implement our corporate sustainability strategy. This approach includes environmental, social and economic pillars of activity. Carbon reduction is an important element of our sustainability strategy.</w:t>
      </w:r>
    </w:p>
    <w:p w14:paraId="1AAFFA1A" w14:textId="77777777" w:rsidR="000E5CDB" w:rsidRDefault="00000000">
      <w:pPr>
        <w:pStyle w:val="Standard"/>
        <w:spacing w:line="240" w:lineRule="auto"/>
      </w:pPr>
      <w:r>
        <w:t>In the future we hope to implement further measures such as:</w:t>
      </w:r>
    </w:p>
    <w:p w14:paraId="1AAFFA1B" w14:textId="77777777" w:rsidR="000E5CDB" w:rsidRDefault="000E5CDB">
      <w:pPr>
        <w:pStyle w:val="Standard"/>
        <w:spacing w:line="240" w:lineRule="auto"/>
      </w:pPr>
    </w:p>
    <w:p w14:paraId="1AAFFA1C" w14:textId="67367255" w:rsidR="000E5CDB" w:rsidRDefault="00000000">
      <w:pPr>
        <w:pStyle w:val="Standard"/>
        <w:numPr>
          <w:ilvl w:val="0"/>
          <w:numId w:val="4"/>
        </w:numPr>
        <w:spacing w:after="140" w:line="264" w:lineRule="auto"/>
      </w:pPr>
      <w:bookmarkStart w:id="11" w:name="_heading=h.1pxezwc"/>
      <w:bookmarkEnd w:id="11"/>
      <w:r>
        <w:t xml:space="preserve">Relocation of Derby site </w:t>
      </w:r>
      <w:r w:rsidR="005F50D8">
        <w:t xml:space="preserve">in 2023 </w:t>
      </w:r>
      <w:r w:rsidR="00D11E50">
        <w:t>to a</w:t>
      </w:r>
      <w:r w:rsidR="005F50D8">
        <w:t xml:space="preserve"> </w:t>
      </w:r>
      <w:r w:rsidR="00D11E50">
        <w:t xml:space="preserve">smaller and </w:t>
      </w:r>
      <w:r w:rsidR="005F50D8">
        <w:t>more energy</w:t>
      </w:r>
      <w:r>
        <w:t xml:space="preserve"> efficient</w:t>
      </w:r>
      <w:r w:rsidR="00D11E50">
        <w:t xml:space="preserve"> site</w:t>
      </w:r>
      <w:r>
        <w:t xml:space="preserve"> – we will consider energy efficiency and environmental factors to support emissions reduction. </w:t>
      </w:r>
    </w:p>
    <w:p w14:paraId="1AAFFA1D" w14:textId="77777777" w:rsidR="000E5CDB" w:rsidRDefault="00000000">
      <w:pPr>
        <w:pStyle w:val="Standard"/>
        <w:numPr>
          <w:ilvl w:val="0"/>
          <w:numId w:val="4"/>
        </w:numPr>
        <w:spacing w:after="140" w:line="264" w:lineRule="auto"/>
      </w:pPr>
      <w:r>
        <w:t>Interventions to reduce power consumption focussed on air conditioning, space heating, ventilation and hot water.</w:t>
      </w:r>
    </w:p>
    <w:p w14:paraId="1AAFFA1E" w14:textId="77777777" w:rsidR="000E5CDB" w:rsidRDefault="00000000">
      <w:pPr>
        <w:pStyle w:val="Standard"/>
        <w:numPr>
          <w:ilvl w:val="0"/>
          <w:numId w:val="4"/>
        </w:numPr>
        <w:spacing w:after="140" w:line="264" w:lineRule="auto"/>
      </w:pPr>
      <w:r>
        <w:t>Purchase of 100% renewable energy.</w:t>
      </w:r>
    </w:p>
    <w:p w14:paraId="1AAFFA1F" w14:textId="77777777" w:rsidR="000E5CDB" w:rsidRDefault="00000000">
      <w:pPr>
        <w:pStyle w:val="Standard"/>
        <w:numPr>
          <w:ilvl w:val="0"/>
          <w:numId w:val="4"/>
        </w:numPr>
        <w:spacing w:after="140" w:line="264" w:lineRule="auto"/>
      </w:pPr>
      <w:r>
        <w:t>IT systems will be designed/commissioned with optimisation as key from Day 1. We will implement software solutions to manage and optimise power consumption of assets.</w:t>
      </w:r>
    </w:p>
    <w:p w14:paraId="1AAFFA20" w14:textId="77777777" w:rsidR="000E5CDB" w:rsidRDefault="00000000">
      <w:pPr>
        <w:pStyle w:val="Standard"/>
        <w:numPr>
          <w:ilvl w:val="0"/>
          <w:numId w:val="4"/>
        </w:numPr>
        <w:spacing w:after="140" w:line="264" w:lineRule="auto"/>
      </w:pPr>
      <w:r>
        <w:t>Introduction of Cycle to Work scheme to reduce private vehicle use.</w:t>
      </w:r>
    </w:p>
    <w:p w14:paraId="1AAFFA21" w14:textId="77777777" w:rsidR="000E5CDB" w:rsidRDefault="00000000">
      <w:pPr>
        <w:pStyle w:val="Standard"/>
        <w:numPr>
          <w:ilvl w:val="0"/>
          <w:numId w:val="4"/>
        </w:numPr>
        <w:spacing w:after="140" w:line="264" w:lineRule="auto"/>
      </w:pPr>
      <w:r>
        <w:t xml:space="preserve">Requiring suppliers to report their carbon footprint data to us to improve the accuracy of carbon measurement and engaging with suppliers to support our net zero goal. </w:t>
      </w:r>
    </w:p>
    <w:p w14:paraId="1AAFFA22" w14:textId="77777777" w:rsidR="000E5CDB" w:rsidRDefault="00000000">
      <w:pPr>
        <w:pStyle w:val="Standard"/>
        <w:numPr>
          <w:ilvl w:val="0"/>
          <w:numId w:val="4"/>
        </w:numPr>
        <w:spacing w:after="140" w:line="264" w:lineRule="auto"/>
      </w:pPr>
      <w:r>
        <w:t>All suppliers to have produced their own net zero target and plan (by 2030 latest) that align with DBC Training targets.</w:t>
      </w:r>
    </w:p>
    <w:p w14:paraId="1AAFFA23" w14:textId="77777777" w:rsidR="000E5CDB" w:rsidRDefault="00000000">
      <w:pPr>
        <w:pStyle w:val="Standard"/>
        <w:numPr>
          <w:ilvl w:val="0"/>
          <w:numId w:val="4"/>
        </w:numPr>
        <w:spacing w:after="140" w:line="264" w:lineRule="auto"/>
      </w:pPr>
      <w:r>
        <w:t xml:space="preserve">Evaluation of all purchased products with specific plans for more efficient use such as reducing single use plastic, switching from disposable to reusable equipment and </w:t>
      </w:r>
      <w:r>
        <w:lastRenderedPageBreak/>
        <w:t xml:space="preserve">reducing use of paper. Using low carbon substitutions where possible such as uniforms made from recycled materials. </w:t>
      </w:r>
    </w:p>
    <w:p w14:paraId="1AAFFA24" w14:textId="77777777" w:rsidR="000E5CDB" w:rsidRDefault="00000000">
      <w:pPr>
        <w:pStyle w:val="Standard"/>
        <w:numPr>
          <w:ilvl w:val="0"/>
          <w:numId w:val="4"/>
        </w:numPr>
        <w:spacing w:after="140" w:line="264" w:lineRule="auto"/>
      </w:pPr>
      <w:r>
        <w:t xml:space="preserve">Active management and reduction of emissions from staff travel. Measures to include a tighter travel policy, switching journeys to bus/rail, and introducing travel carbon budgeting and reporting. </w:t>
      </w:r>
    </w:p>
    <w:p w14:paraId="1AAFFA25" w14:textId="77777777" w:rsidR="000E5CDB" w:rsidRDefault="00000000">
      <w:pPr>
        <w:pStyle w:val="Standard"/>
        <w:numPr>
          <w:ilvl w:val="0"/>
          <w:numId w:val="4"/>
        </w:numPr>
        <w:spacing w:after="140" w:line="264" w:lineRule="auto"/>
      </w:pPr>
      <w:r>
        <w:t>Deliver further reductions in emissions resulting from commuting to work. Encouragement of staff to use low carbon transport methods such as walking, cycling and public transport as well as a scheme to promote use of low or zero emission cars, including provision of EV charging points.</w:t>
      </w:r>
    </w:p>
    <w:p w14:paraId="1AAFFA26" w14:textId="77777777" w:rsidR="000E5CDB" w:rsidRDefault="00000000">
      <w:pPr>
        <w:pStyle w:val="Heading1"/>
        <w:spacing w:before="360"/>
      </w:pPr>
      <w:bookmarkStart w:id="12" w:name="_heading=h.49x2ik5"/>
      <w:bookmarkEnd w:id="12"/>
      <w:r>
        <w:rPr>
          <w:b/>
          <w:sz w:val="28"/>
          <w:szCs w:val="28"/>
        </w:rPr>
        <w:t>Declaration and Sign Off</w:t>
      </w:r>
    </w:p>
    <w:p w14:paraId="1AAFFA27" w14:textId="77777777" w:rsidR="000E5CDB" w:rsidRDefault="00000000">
      <w:pPr>
        <w:pStyle w:val="Standard"/>
        <w:spacing w:after="300" w:line="240" w:lineRule="auto"/>
      </w:pPr>
      <w:r>
        <w:t>This Carbon Reduction Plan has been completed in accordance with PPN 06/21 and associated guidance and reporting standard for Carbon Reduction Plans.</w:t>
      </w:r>
    </w:p>
    <w:p w14:paraId="1AAFFA28" w14:textId="77777777" w:rsidR="000E5CDB" w:rsidRDefault="00000000">
      <w:pPr>
        <w:pStyle w:val="Standard"/>
        <w:spacing w:after="300" w:line="240" w:lineRule="auto"/>
      </w:pPr>
      <w:r>
        <w:t>Emissions have been reported and recorded in accordance with</w:t>
      </w:r>
      <w:r>
        <w:rPr>
          <w:color w:val="0B0C0C"/>
        </w:rPr>
        <w:t xml:space="preserve"> the published reporting standard for Carbon Reduction Plans and the </w:t>
      </w:r>
      <w:r>
        <w:rPr>
          <w:color w:val="000000"/>
        </w:rPr>
        <w:t>GHG Reporting Protocol corporate standard</w:t>
      </w:r>
      <w:r>
        <w:rPr>
          <w:rStyle w:val="FootnoteReference"/>
          <w:color w:val="000000"/>
        </w:rPr>
        <w:footnoteReference w:id="1"/>
      </w:r>
      <w:r>
        <w:rPr>
          <w:color w:val="000000"/>
        </w:rPr>
        <w:t xml:space="preserve"> </w:t>
      </w:r>
      <w:r>
        <w:rPr>
          <w:color w:val="0B0C0C"/>
        </w:rPr>
        <w:t>and uses the appropri</w:t>
      </w:r>
      <w:r>
        <w:rPr>
          <w:color w:val="000000"/>
        </w:rPr>
        <w:t xml:space="preserve">ate </w:t>
      </w:r>
      <w:hyperlink r:id="rId8" w:history="1">
        <w:r>
          <w:rPr>
            <w:color w:val="000000"/>
          </w:rPr>
          <w:t>Government emission conversion factors for greenhouse gas company reporting</w:t>
        </w:r>
      </w:hyperlink>
      <w:r>
        <w:rPr>
          <w:rStyle w:val="FootnoteReference"/>
          <w:color w:val="000000"/>
        </w:rPr>
        <w:footnoteReference w:id="2"/>
      </w:r>
      <w:r>
        <w:rPr>
          <w:color w:val="000000"/>
        </w:rPr>
        <w:t>.</w:t>
      </w:r>
    </w:p>
    <w:p w14:paraId="1AAFFA29" w14:textId="77777777" w:rsidR="000E5CDB" w:rsidRDefault="00000000">
      <w:pPr>
        <w:pStyle w:val="Standard"/>
        <w:spacing w:after="300" w:line="240" w:lineRule="auto"/>
      </w:pPr>
      <w:r>
        <w:rPr>
          <w:color w:val="0B0C0C"/>
        </w:rPr>
        <w:t xml:space="preserve">Scope 1 and Scope 2 emissions have been reported in accordance with SECR requirements, and the required subset of Scope 3 emissions have been reported in accordance with the published reporting standard for Carbon Reduction Plans and the </w:t>
      </w:r>
      <w:r>
        <w:rPr>
          <w:color w:val="000000"/>
        </w:rPr>
        <w:t>Corporate Value Chain (Scope 3) Standard</w:t>
      </w:r>
      <w:r>
        <w:rPr>
          <w:rStyle w:val="FootnoteReference"/>
          <w:color w:val="000000"/>
        </w:rPr>
        <w:footnoteReference w:id="3"/>
      </w:r>
      <w:r>
        <w:rPr>
          <w:color w:val="000000"/>
        </w:rPr>
        <w:t>.</w:t>
      </w:r>
    </w:p>
    <w:p w14:paraId="1AAFFA2A" w14:textId="77777777" w:rsidR="000E5CDB" w:rsidRDefault="00000000">
      <w:pPr>
        <w:pStyle w:val="Standard"/>
        <w:spacing w:after="300" w:line="240" w:lineRule="auto"/>
      </w:pPr>
      <w:r>
        <w:rPr>
          <w:color w:val="0B0C0C"/>
        </w:rPr>
        <w:t xml:space="preserve">This Carbon Reduction Plan has been reviewed and signed off </w:t>
      </w:r>
      <w:r>
        <w:t>by the board of directors (or equivalent management body).</w:t>
      </w:r>
    </w:p>
    <w:p w14:paraId="1AAFFA2B" w14:textId="77777777" w:rsidR="000E5CDB" w:rsidRDefault="00000000">
      <w:pPr>
        <w:pStyle w:val="Heading4"/>
        <w:spacing w:after="300" w:line="240" w:lineRule="auto"/>
      </w:pPr>
      <w:bookmarkStart w:id="13" w:name="_heading=h.2p2csry"/>
      <w:bookmarkEnd w:id="13"/>
      <w:r>
        <w:t>Signed on behalf of the Supplier:</w:t>
      </w:r>
    </w:p>
    <w:p w14:paraId="1AAFFA2C" w14:textId="77777777" w:rsidR="000E5CDB" w:rsidRDefault="00000000">
      <w:pPr>
        <w:pStyle w:val="Standard"/>
        <w:spacing w:after="300" w:line="240" w:lineRule="auto"/>
      </w:pPr>
      <w:r>
        <w:rPr>
          <w:noProof/>
          <w:color w:val="0B0C0C"/>
        </w:rPr>
        <w:drawing>
          <wp:inline distT="0" distB="0" distL="0" distR="0" wp14:anchorId="1AAFF9D3" wp14:editId="1AAFF9D4">
            <wp:extent cx="2146060" cy="784253"/>
            <wp:effectExtent l="0" t="0" r="6590" b="0"/>
            <wp:docPr id="207923570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46060" cy="784253"/>
                    </a:xfrm>
                    <a:prstGeom prst="rect">
                      <a:avLst/>
                    </a:prstGeom>
                    <a:noFill/>
                    <a:ln>
                      <a:noFill/>
                      <a:prstDash/>
                    </a:ln>
                  </pic:spPr>
                </pic:pic>
              </a:graphicData>
            </a:graphic>
          </wp:inline>
        </w:drawing>
      </w:r>
    </w:p>
    <w:p w14:paraId="1AAFFA2D" w14:textId="77777777" w:rsidR="000E5CDB" w:rsidRDefault="00000000">
      <w:pPr>
        <w:pStyle w:val="Standard"/>
        <w:spacing w:after="300" w:line="240" w:lineRule="auto"/>
      </w:pPr>
      <w:r>
        <w:rPr>
          <w:color w:val="0B0C0C"/>
        </w:rPr>
        <w:t>Kerry Bentley, Managing Director…………….</w:t>
      </w:r>
    </w:p>
    <w:p w14:paraId="1AAFFA2E" w14:textId="29379B38" w:rsidR="000E5CDB" w:rsidRDefault="00000000">
      <w:pPr>
        <w:pStyle w:val="Standard"/>
        <w:spacing w:after="300" w:line="240" w:lineRule="auto"/>
      </w:pPr>
      <w:r>
        <w:rPr>
          <w:color w:val="0B0C0C"/>
        </w:rPr>
        <w:t xml:space="preserve">Date: </w:t>
      </w:r>
      <w:r w:rsidR="00D11E50">
        <w:rPr>
          <w:color w:val="0B0C0C"/>
        </w:rPr>
        <w:t>25</w:t>
      </w:r>
      <w:r>
        <w:rPr>
          <w:color w:val="0B0C0C"/>
        </w:rPr>
        <w:t>/</w:t>
      </w:r>
      <w:r w:rsidR="00D11E50">
        <w:rPr>
          <w:color w:val="0B0C0C"/>
        </w:rPr>
        <w:t>0</w:t>
      </w:r>
      <w:r>
        <w:rPr>
          <w:color w:val="0B0C0C"/>
        </w:rPr>
        <w:t>1/202</w:t>
      </w:r>
      <w:r w:rsidR="00D11E50">
        <w:rPr>
          <w:color w:val="0B0C0C"/>
        </w:rPr>
        <w:t>4</w:t>
      </w:r>
      <w:r>
        <w:rPr>
          <w:color w:val="0B0C0C"/>
        </w:rPr>
        <w:t>……………………….……….</w:t>
      </w:r>
    </w:p>
    <w:p w14:paraId="1AAFFA2F" w14:textId="77777777" w:rsidR="000E5CDB" w:rsidRDefault="000E5CDB">
      <w:pPr>
        <w:pStyle w:val="Standard"/>
        <w:rPr>
          <w:shd w:val="clear" w:color="auto" w:fill="FFFF00"/>
        </w:rPr>
      </w:pPr>
      <w:bookmarkStart w:id="14" w:name="_heading=h.147n2zr"/>
      <w:bookmarkEnd w:id="14"/>
    </w:p>
    <w:p w14:paraId="1AAFFA30" w14:textId="77777777" w:rsidR="000E5CDB" w:rsidRDefault="000E5CDB">
      <w:pPr>
        <w:pStyle w:val="Standard"/>
      </w:pPr>
    </w:p>
    <w:sectPr w:rsidR="000E5CDB">
      <w:head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2AA6" w14:textId="77777777" w:rsidR="002702DB" w:rsidRDefault="002702DB">
      <w:r>
        <w:separator/>
      </w:r>
    </w:p>
  </w:endnote>
  <w:endnote w:type="continuationSeparator" w:id="0">
    <w:p w14:paraId="023C4023" w14:textId="77777777" w:rsidR="002702DB" w:rsidRDefault="0027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variable"/>
  </w:font>
  <w:font w:name="Liberation Sans">
    <w:charset w:val="00"/>
    <w:family w:val="swiss"/>
    <w:pitch w:val="variable"/>
  </w:font>
  <w:font w:name="Linux Libertine G">
    <w:altName w:val="Cambria"/>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39989" w14:textId="77777777" w:rsidR="002702DB" w:rsidRDefault="002702DB">
      <w:r>
        <w:rPr>
          <w:color w:val="000000"/>
        </w:rPr>
        <w:separator/>
      </w:r>
    </w:p>
  </w:footnote>
  <w:footnote w:type="continuationSeparator" w:id="0">
    <w:p w14:paraId="091064F7" w14:textId="77777777" w:rsidR="002702DB" w:rsidRDefault="002702DB">
      <w:r>
        <w:continuationSeparator/>
      </w:r>
    </w:p>
  </w:footnote>
  <w:footnote w:id="1">
    <w:p w14:paraId="1AAFF9D5" w14:textId="77777777" w:rsidR="000E5CDB" w:rsidRDefault="00000000">
      <w:pPr>
        <w:pStyle w:val="Standard"/>
        <w:spacing w:line="240" w:lineRule="auto"/>
      </w:pPr>
      <w:r>
        <w:rPr>
          <w:rStyle w:val="FootnoteReference"/>
        </w:rPr>
        <w:footnoteRef/>
      </w:r>
      <w:hyperlink r:id="rId1" w:history="1">
        <w:r>
          <w:rPr>
            <w:color w:val="0000FF"/>
            <w:sz w:val="20"/>
            <w:szCs w:val="20"/>
            <w:u w:val="single"/>
          </w:rPr>
          <w:t>https://ghgprotocol.org/corporate-standard</w:t>
        </w:r>
      </w:hyperlink>
    </w:p>
  </w:footnote>
  <w:footnote w:id="2">
    <w:p w14:paraId="1AAFF9D6" w14:textId="77777777" w:rsidR="000E5CDB" w:rsidRDefault="00000000">
      <w:pPr>
        <w:pStyle w:val="Standard"/>
        <w:spacing w:line="240" w:lineRule="auto"/>
      </w:pPr>
      <w:r>
        <w:rPr>
          <w:rStyle w:val="FootnoteReference"/>
        </w:rPr>
        <w:footnoteRef/>
      </w:r>
      <w:hyperlink r:id="rId2" w:history="1">
        <w:r>
          <w:rPr>
            <w:color w:val="0000FF"/>
            <w:sz w:val="20"/>
            <w:szCs w:val="20"/>
            <w:u w:val="single"/>
          </w:rPr>
          <w:t>https://www.gov.uk/government/collections/government-conversion-factors-for-company-reporting</w:t>
        </w:r>
      </w:hyperlink>
    </w:p>
  </w:footnote>
  <w:footnote w:id="3">
    <w:p w14:paraId="1AAFF9D7" w14:textId="77777777" w:rsidR="000E5CDB" w:rsidRDefault="00000000">
      <w:pPr>
        <w:pStyle w:val="Standard"/>
        <w:spacing w:line="240" w:lineRule="auto"/>
      </w:pPr>
      <w:r>
        <w:rPr>
          <w:rStyle w:val="FootnoteReference"/>
        </w:rPr>
        <w:footnoteRef/>
      </w:r>
      <w:hyperlink r:id="rId3" w:history="1">
        <w:r>
          <w:rPr>
            <w:color w:val="0000FF"/>
            <w:sz w:val="20"/>
            <w:szCs w:val="20"/>
            <w:u w:val="single"/>
          </w:rPr>
          <w:t>https://ghgprotocol.org/standards/scope-3-standard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F9DD" w14:textId="77777777" w:rsidR="00577719" w:rsidRDefault="00577719">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7C43"/>
    <w:multiLevelType w:val="multilevel"/>
    <w:tmpl w:val="D3F4D3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80D0426"/>
    <w:multiLevelType w:val="multilevel"/>
    <w:tmpl w:val="8D407A78"/>
    <w:lvl w:ilvl="0">
      <w:numFmt w:val="bullet"/>
      <w:lvlText w:val=""/>
      <w:lvlJc w:val="left"/>
      <w:pPr>
        <w:ind w:left="720" w:hanging="360"/>
      </w:pPr>
      <w:rPr>
        <w:rFonts w:ascii="Symbol" w:eastAsia="Arial"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DC8016F"/>
    <w:multiLevelType w:val="multilevel"/>
    <w:tmpl w:val="5A804326"/>
    <w:styleLink w:val="WWNum1"/>
    <w:lvl w:ilvl="0">
      <w:numFmt w:val="bullet"/>
      <w:lvlText w:val="●"/>
      <w:lvlJc w:val="left"/>
      <w:pPr>
        <w:ind w:left="720" w:hanging="360"/>
      </w:pPr>
      <w:rPr>
        <w:rFonts w:ascii="Noto Sans Symbols" w:eastAsia="Noto Sans Symbols" w:hAnsi="Noto Sans Symbols" w:cs="Noto Sans Symbols"/>
        <w:b w:val="0"/>
        <w:sz w:val="22"/>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C0E2C6C"/>
    <w:multiLevelType w:val="multilevel"/>
    <w:tmpl w:val="B5DEBA3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816680782">
    <w:abstractNumId w:val="3"/>
  </w:num>
  <w:num w:numId="2" w16cid:durableId="753819709">
    <w:abstractNumId w:val="2"/>
  </w:num>
  <w:num w:numId="3" w16cid:durableId="1639259307">
    <w:abstractNumId w:val="1"/>
  </w:num>
  <w:num w:numId="4" w16cid:durableId="820999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CDB"/>
    <w:rsid w:val="0000540A"/>
    <w:rsid w:val="000C2C41"/>
    <w:rsid w:val="000E5CDB"/>
    <w:rsid w:val="001B4A30"/>
    <w:rsid w:val="001C2F85"/>
    <w:rsid w:val="002702DB"/>
    <w:rsid w:val="00321FD2"/>
    <w:rsid w:val="0039187E"/>
    <w:rsid w:val="0045380B"/>
    <w:rsid w:val="00463B01"/>
    <w:rsid w:val="00577719"/>
    <w:rsid w:val="0059086C"/>
    <w:rsid w:val="005F50D8"/>
    <w:rsid w:val="00670F97"/>
    <w:rsid w:val="007A5753"/>
    <w:rsid w:val="0082692B"/>
    <w:rsid w:val="00A6284D"/>
    <w:rsid w:val="00AC3B27"/>
    <w:rsid w:val="00AD39AD"/>
    <w:rsid w:val="00BD1038"/>
    <w:rsid w:val="00C25879"/>
    <w:rsid w:val="00C642BC"/>
    <w:rsid w:val="00C73C97"/>
    <w:rsid w:val="00D11E50"/>
    <w:rsid w:val="00D26DC9"/>
    <w:rsid w:val="00D34299"/>
    <w:rsid w:val="00D73752"/>
    <w:rsid w:val="00D96087"/>
    <w:rsid w:val="00DE3C00"/>
    <w:rsid w:val="00EE71F0"/>
    <w:rsid w:val="00F13054"/>
    <w:rsid w:val="00F27B6A"/>
    <w:rsid w:val="00F5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F9D1"/>
  <w15:docId w15:val="{75229222-63BF-475D-B4BD-656EC8E6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spacing w:before="360" w:after="120"/>
      <w:outlineLvl w:val="1"/>
    </w:pPr>
    <w:rPr>
      <w:sz w:val="32"/>
      <w:szCs w:val="32"/>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unhideWhenUsed/>
    <w:qFormat/>
    <w:pPr>
      <w:keepNext/>
      <w:keepLines/>
      <w:spacing w:after="120" w:line="264" w:lineRule="auto"/>
      <w:jc w:val="both"/>
      <w:outlineLvl w:val="3"/>
    </w:pPr>
    <w:rPr>
      <w:b/>
      <w:color w:val="00488C"/>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CommentText">
    <w:name w:val="annotation text"/>
    <w:basedOn w:val="Normal"/>
    <w:rPr>
      <w:sz w:val="20"/>
      <w:szCs w:val="20"/>
    </w:rPr>
  </w:style>
  <w:style w:type="paragraph" w:styleId="BalloonText">
    <w:name w:val="Balloon Text"/>
    <w:basedOn w:val="Normal"/>
    <w:rPr>
      <w:rFonts w:ascii="Times New Roman" w:eastAsia="Times New Roman" w:hAnsi="Times New Roman" w:cs="Times New Roman"/>
      <w:sz w:val="18"/>
      <w:szCs w:val="18"/>
    </w:rPr>
  </w:style>
  <w:style w:type="paragraph" w:customStyle="1" w:styleId="Footnote">
    <w:name w:val="Footnote"/>
    <w:basedOn w:val="Normal"/>
    <w:rPr>
      <w:sz w:val="20"/>
      <w:szCs w:val="20"/>
    </w:rPr>
  </w:style>
  <w:style w:type="paragraph" w:styleId="NormalWeb">
    <w:name w:val="Normal (Web)"/>
    <w:basedOn w:val="Normal"/>
    <w:pPr>
      <w:spacing w:before="280" w:after="280"/>
    </w:pPr>
    <w:rPr>
      <w:rFonts w:ascii="Times New Roman" w:eastAsia="Times New Roman" w:hAnsi="Times New Roman" w:cs="Times New Roman"/>
      <w:sz w:val="24"/>
      <w:szCs w:val="24"/>
      <w:lang w:eastAsia="en-GB"/>
    </w:rPr>
  </w:style>
  <w:style w:type="paragraph" w:customStyle="1" w:styleId="Framecontents">
    <w:name w:val="Frame contents"/>
    <w:basedOn w:val="Standard"/>
  </w:style>
  <w:style w:type="paragraph" w:styleId="Header">
    <w:name w:val="header"/>
    <w:basedOn w:val="Standard"/>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Times New Roman" w:eastAsia="Times New Roman" w:hAnsi="Times New Roman" w:cs="Times New Roman"/>
      <w:sz w:val="18"/>
      <w:szCs w:val="18"/>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styleId="UnresolvedMention">
    <w:name w:val="Unresolved Mention"/>
    <w:basedOn w:val="DefaultParagraphFont"/>
    <w:rPr>
      <w:color w:val="605E5C"/>
      <w:shd w:val="clear" w:color="auto" w:fill="E1DFDD"/>
    </w:rPr>
  </w:style>
  <w:style w:type="character" w:customStyle="1" w:styleId="ListLabel1">
    <w:name w:val="ListLabel 1"/>
    <w:rPr>
      <w:rFonts w:ascii="Arial" w:eastAsia="Noto Sans Symbols" w:hAnsi="Arial" w:cs="Noto Sans Symbols"/>
      <w:b w:val="0"/>
      <w:sz w:val="22"/>
      <w:szCs w:val="20"/>
    </w:rPr>
  </w:style>
  <w:style w:type="character" w:customStyle="1" w:styleId="ListLabel2">
    <w:name w:val="ListLabel 2"/>
    <w:rPr>
      <w:rFonts w:eastAsia="Courier New" w:cs="Courier New"/>
      <w:sz w:val="20"/>
      <w:szCs w:val="20"/>
    </w:rPr>
  </w:style>
  <w:style w:type="character" w:customStyle="1" w:styleId="ListLabel3">
    <w:name w:val="ListLabel 3"/>
    <w:rPr>
      <w:rFonts w:eastAsia="Noto Sans Symbols" w:cs="Noto Sans Symbols"/>
      <w:sz w:val="20"/>
      <w:szCs w:val="20"/>
    </w:rPr>
  </w:style>
  <w:style w:type="character" w:customStyle="1" w:styleId="ListLabel4">
    <w:name w:val="ListLabel 4"/>
    <w:rPr>
      <w:rFonts w:eastAsia="Noto Sans Symbols" w:cs="Noto Sans Symbols"/>
      <w:sz w:val="20"/>
      <w:szCs w:val="20"/>
    </w:rPr>
  </w:style>
  <w:style w:type="character" w:customStyle="1" w:styleId="ListLabel5">
    <w:name w:val="ListLabel 5"/>
    <w:rPr>
      <w:rFonts w:eastAsia="Noto Sans Symbols" w:cs="Noto Sans Symbols"/>
      <w:sz w:val="20"/>
      <w:szCs w:val="20"/>
    </w:rPr>
  </w:style>
  <w:style w:type="character" w:customStyle="1" w:styleId="ListLabel6">
    <w:name w:val="ListLabel 6"/>
    <w:rPr>
      <w:rFonts w:eastAsia="Noto Sans Symbols" w:cs="Noto Sans Symbols"/>
      <w:sz w:val="20"/>
      <w:szCs w:val="20"/>
    </w:rPr>
  </w:style>
  <w:style w:type="character" w:customStyle="1" w:styleId="ListLabel7">
    <w:name w:val="ListLabel 7"/>
    <w:rPr>
      <w:rFonts w:eastAsia="Noto Sans Symbols" w:cs="Noto Sans Symbols"/>
      <w:sz w:val="20"/>
      <w:szCs w:val="20"/>
    </w:rPr>
  </w:style>
  <w:style w:type="character" w:customStyle="1" w:styleId="ListLabel8">
    <w:name w:val="ListLabel 8"/>
    <w:rPr>
      <w:rFonts w:eastAsia="Noto Sans Symbols" w:cs="Noto Sans Symbols"/>
      <w:sz w:val="20"/>
      <w:szCs w:val="20"/>
    </w:rPr>
  </w:style>
  <w:style w:type="character" w:customStyle="1" w:styleId="ListLabel9">
    <w:name w:val="ListLabel 9"/>
    <w:rPr>
      <w:rFonts w:eastAsia="Noto Sans Symbols" w:cs="Noto Sans Symbols"/>
      <w:sz w:val="20"/>
      <w:szCs w:val="20"/>
    </w:rPr>
  </w:style>
  <w:style w:type="character" w:customStyle="1" w:styleId="ListLabel10">
    <w:name w:val="ListLabel 10"/>
    <w:rPr>
      <w:color w:val="000000"/>
    </w:rPr>
  </w:style>
  <w:style w:type="character" w:styleId="FootnoteReference">
    <w:name w:val="footnote reference"/>
    <w:basedOn w:val="DefaultParagraphFont"/>
    <w:rPr>
      <w:position w:val="0"/>
      <w:vertAlign w:val="superscript"/>
    </w:rPr>
  </w:style>
  <w:style w:type="paragraph" w:styleId="CommentSubject">
    <w:name w:val="annotation subject"/>
    <w:basedOn w:val="CommentText"/>
    <w:next w:val="CommentText"/>
    <w:rPr>
      <w:rFonts w:cs="Mangal"/>
      <w:b/>
      <w:bCs/>
      <w:szCs w:val="18"/>
    </w:rPr>
  </w:style>
  <w:style w:type="character" w:customStyle="1" w:styleId="CommentTextChar1">
    <w:name w:val="Comment Text Char1"/>
    <w:basedOn w:val="DefaultParagraphFont"/>
    <w:rPr>
      <w:sz w:val="20"/>
      <w:szCs w:val="20"/>
    </w:rPr>
  </w:style>
  <w:style w:type="character" w:customStyle="1" w:styleId="CommentSubjectChar">
    <w:name w:val="Comment Subject Char"/>
    <w:basedOn w:val="CommentTextChar1"/>
    <w:rPr>
      <w:rFonts w:cs="Mangal"/>
      <w:b/>
      <w:bCs/>
      <w:sz w:val="20"/>
      <w:szCs w:val="18"/>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government-conversion-factors-for-company-reporting"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ghgprotocol.org/standards/scope-3-standard" TargetMode="External"/><Relationship Id="rId2" Type="http://schemas.openxmlformats.org/officeDocument/2006/relationships/hyperlink" Target="https://www.gov.uk/government/collections/government-conversion-factors-for-company-reporting" TargetMode="External"/><Relationship Id="rId1" Type="http://schemas.openxmlformats.org/officeDocument/2006/relationships/hyperlink" Target="https://ghgprotocol.org/corporate-standard"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u="none" strike="noStrike" baseline="0">
                <a:effectLst/>
              </a:rPr>
              <a:t>tCO</a:t>
            </a:r>
            <a:r>
              <a:rPr lang="en-GB" sz="1400" b="1" i="0" u="none" strike="noStrike" baseline="-25000">
                <a:effectLst/>
              </a:rPr>
              <a:t>2</a:t>
            </a:r>
            <a:r>
              <a:rPr lang="en-GB" sz="1400" b="1" i="0" u="none" strike="noStrike" baseline="0">
                <a:effectLst/>
              </a:rPr>
              <a:t>e Reduction: Projected vs. Actual</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Actual</c:v>
                </c:pt>
              </c:strCache>
            </c:strRef>
          </c:tx>
          <c:spPr>
            <a:ln w="28575" cap="rnd">
              <a:solidFill>
                <a:schemeClr val="accent1"/>
              </a:solidFill>
              <a:round/>
            </a:ln>
            <a:effectLst/>
          </c:spPr>
          <c:marker>
            <c:symbol val="none"/>
          </c:marker>
          <c:cat>
            <c:numRef>
              <c:f>Sheet1!$A$2:$A$30</c:f>
              <c:numCache>
                <c:formatCode>General</c:formatCode>
                <c:ptCount val="29"/>
                <c:pt idx="0">
                  <c:v>2022</c:v>
                </c:pt>
                <c:pt idx="3">
                  <c:v>2025</c:v>
                </c:pt>
                <c:pt idx="8">
                  <c:v>2030</c:v>
                </c:pt>
                <c:pt idx="13">
                  <c:v>2035</c:v>
                </c:pt>
                <c:pt idx="18">
                  <c:v>2040</c:v>
                </c:pt>
                <c:pt idx="23">
                  <c:v>2045</c:v>
                </c:pt>
                <c:pt idx="28">
                  <c:v>2050</c:v>
                </c:pt>
              </c:numCache>
            </c:numRef>
          </c:cat>
          <c:val>
            <c:numRef>
              <c:f>Sheet1!$B$2:$B$30</c:f>
              <c:numCache>
                <c:formatCode>General</c:formatCode>
                <c:ptCount val="29"/>
                <c:pt idx="0">
                  <c:v>120.2</c:v>
                </c:pt>
                <c:pt idx="1">
                  <c:v>112.16</c:v>
                </c:pt>
              </c:numCache>
            </c:numRef>
          </c:val>
          <c:smooth val="0"/>
          <c:extLst>
            <c:ext xmlns:c16="http://schemas.microsoft.com/office/drawing/2014/chart" uri="{C3380CC4-5D6E-409C-BE32-E72D297353CC}">
              <c16:uniqueId val="{00000000-C8B0-4A94-A786-07F3953124CF}"/>
            </c:ext>
          </c:extLst>
        </c:ser>
        <c:ser>
          <c:idx val="1"/>
          <c:order val="1"/>
          <c:tx>
            <c:strRef>
              <c:f>Sheet1!$C$1</c:f>
              <c:strCache>
                <c:ptCount val="1"/>
                <c:pt idx="0">
                  <c:v>Target</c:v>
                </c:pt>
              </c:strCache>
            </c:strRef>
          </c:tx>
          <c:spPr>
            <a:ln w="28575" cap="rnd">
              <a:solidFill>
                <a:srgbClr val="92D050"/>
              </a:solidFill>
              <a:round/>
            </a:ln>
            <a:effectLst/>
          </c:spPr>
          <c:marker>
            <c:symbol val="none"/>
          </c:marker>
          <c:cat>
            <c:numRef>
              <c:f>Sheet1!$A$2:$A$30</c:f>
              <c:numCache>
                <c:formatCode>General</c:formatCode>
                <c:ptCount val="29"/>
                <c:pt idx="0">
                  <c:v>2022</c:v>
                </c:pt>
                <c:pt idx="3">
                  <c:v>2025</c:v>
                </c:pt>
                <c:pt idx="8">
                  <c:v>2030</c:v>
                </c:pt>
                <c:pt idx="13">
                  <c:v>2035</c:v>
                </c:pt>
                <c:pt idx="18">
                  <c:v>2040</c:v>
                </c:pt>
                <c:pt idx="23">
                  <c:v>2045</c:v>
                </c:pt>
                <c:pt idx="28">
                  <c:v>2050</c:v>
                </c:pt>
              </c:numCache>
            </c:numRef>
          </c:cat>
          <c:val>
            <c:numRef>
              <c:f>Sheet1!$C$2:$C$30</c:f>
              <c:numCache>
                <c:formatCode>General</c:formatCode>
                <c:ptCount val="29"/>
                <c:pt idx="0">
                  <c:v>120.2</c:v>
                </c:pt>
                <c:pt idx="1">
                  <c:v>118</c:v>
                </c:pt>
                <c:pt idx="2">
                  <c:v>116</c:v>
                </c:pt>
                <c:pt idx="3">
                  <c:v>114</c:v>
                </c:pt>
                <c:pt idx="4">
                  <c:v>112</c:v>
                </c:pt>
                <c:pt idx="5">
                  <c:v>110</c:v>
                </c:pt>
                <c:pt idx="6">
                  <c:v>106</c:v>
                </c:pt>
                <c:pt idx="7">
                  <c:v>100</c:v>
                </c:pt>
                <c:pt idx="8">
                  <c:v>95</c:v>
                </c:pt>
                <c:pt idx="9">
                  <c:v>90</c:v>
                </c:pt>
                <c:pt idx="10">
                  <c:v>85</c:v>
                </c:pt>
                <c:pt idx="11">
                  <c:v>80</c:v>
                </c:pt>
                <c:pt idx="12">
                  <c:v>75</c:v>
                </c:pt>
                <c:pt idx="13">
                  <c:v>70</c:v>
                </c:pt>
                <c:pt idx="14">
                  <c:v>62</c:v>
                </c:pt>
                <c:pt idx="15">
                  <c:v>56</c:v>
                </c:pt>
                <c:pt idx="16">
                  <c:v>48</c:v>
                </c:pt>
                <c:pt idx="17">
                  <c:v>40</c:v>
                </c:pt>
                <c:pt idx="18">
                  <c:v>32</c:v>
                </c:pt>
                <c:pt idx="19">
                  <c:v>28</c:v>
                </c:pt>
                <c:pt idx="20">
                  <c:v>22</c:v>
                </c:pt>
                <c:pt idx="21">
                  <c:v>17</c:v>
                </c:pt>
                <c:pt idx="22">
                  <c:v>12</c:v>
                </c:pt>
                <c:pt idx="23">
                  <c:v>10</c:v>
                </c:pt>
                <c:pt idx="24">
                  <c:v>9</c:v>
                </c:pt>
                <c:pt idx="25">
                  <c:v>8</c:v>
                </c:pt>
                <c:pt idx="26">
                  <c:v>7</c:v>
                </c:pt>
                <c:pt idx="27">
                  <c:v>2</c:v>
                </c:pt>
                <c:pt idx="28">
                  <c:v>0</c:v>
                </c:pt>
              </c:numCache>
            </c:numRef>
          </c:val>
          <c:smooth val="0"/>
          <c:extLst>
            <c:ext xmlns:c16="http://schemas.microsoft.com/office/drawing/2014/chart" uri="{C3380CC4-5D6E-409C-BE32-E72D297353CC}">
              <c16:uniqueId val="{00000003-C8B0-4A94-A786-07F3953124CF}"/>
            </c:ext>
          </c:extLst>
        </c:ser>
        <c:dLbls>
          <c:showLegendKey val="0"/>
          <c:showVal val="0"/>
          <c:showCatName val="0"/>
          <c:showSerName val="0"/>
          <c:showPercent val="0"/>
          <c:showBubbleSize val="0"/>
        </c:dLbls>
        <c:smooth val="0"/>
        <c:axId val="682851200"/>
        <c:axId val="682854440"/>
      </c:lineChart>
      <c:catAx>
        <c:axId val="68285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854440"/>
        <c:crosses val="autoZero"/>
        <c:auto val="1"/>
        <c:lblAlgn val="ctr"/>
        <c:lblOffset val="100"/>
        <c:noMultiLvlLbl val="0"/>
      </c:catAx>
      <c:valAx>
        <c:axId val="682854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1" i="0" u="none" strike="noStrike" baseline="0">
                    <a:effectLst/>
                  </a:rPr>
                  <a:t>tCO</a:t>
                </a:r>
                <a:r>
                  <a:rPr lang="en-GB" sz="1000" b="1" i="0" u="none" strike="noStrike" baseline="-25000">
                    <a:effectLst/>
                  </a:rPr>
                  <a:t>2</a:t>
                </a:r>
                <a:r>
                  <a:rPr lang="en-GB" sz="1000" b="1" i="0" u="none" strike="noStrike" baseline="0">
                    <a:effectLst/>
                  </a:rPr>
                  <a:t>e</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28512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Smith</dc:creator>
  <cp:lastModifiedBy>Anthony Smith</cp:lastModifiedBy>
  <cp:revision>29</cp:revision>
  <dcterms:created xsi:type="dcterms:W3CDTF">2024-01-15T09:21:00Z</dcterms:created>
  <dcterms:modified xsi:type="dcterms:W3CDTF">2024-01-25T11:14:00Z</dcterms:modified>
</cp:coreProperties>
</file>